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tyles.xml" ContentType="application/vnd.openxmlformats-officedocument.wordprocessingml.styles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docProps/custom.xml" ContentType="application/vnd.openxmlformats-officedocument.custom-properties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jc w:val="center"/>
        <w:rPr/>
      </w:pPr>
      <w:r>
        <w:rPr>
          <w:sz w:val="28"/>
          <w:szCs w:val="28"/>
        </w:rPr>
        <w:t>НАСЛЕДИЕ».</w:t>
      </w:r>
    </w:p>
    <w:p>
      <w:pPr>
        <w:pStyle w:val="Normal"/>
        <w:tabs>
          <w:tab w:val="left" w:pos="470" w:leader="none"/>
        </w:tabs>
        <w:jc w:val="center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</w:r>
    </w:p>
    <w:p>
      <w:pPr>
        <w:pStyle w:val="Normal"/>
        <w:jc w:val="center"/>
        <w:rPr/>
      </w:pPr>
      <w:r>
        <w:rPr>
          <w:sz w:val="28"/>
          <w:szCs w:val="28"/>
          <w:lang w:val="kk-KZ"/>
        </w:rPr>
        <w:t xml:space="preserve">15.1 </w:t>
      </w:r>
      <w:r>
        <w:rPr>
          <w:sz w:val="28"/>
          <w:szCs w:val="28"/>
        </w:rPr>
        <w:t>Программа «Культурное наследие»</w:t>
      </w:r>
    </w:p>
    <w:p>
      <w:pPr>
        <w:pStyle w:val="Normal"/>
        <w:jc w:val="center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ind w:left="0" w:right="0" w:firstLine="284"/>
        <w:jc w:val="both"/>
        <w:rPr>
          <w:sz w:val="28"/>
          <w:szCs w:val="28"/>
        </w:rPr>
      </w:pPr>
      <w:r>
        <w:rPr>
          <w:sz w:val="28"/>
          <w:szCs w:val="28"/>
        </w:rPr>
        <w:t>С 2004 года по инициативе Президента страны Н.А. Назарбаева стартовала государственная программа «Культурное наследие». Первый ее аспект направлен на развитие и укрепление национального самосознания казахстанцев через богатство культурного наследия народа. Второй важнейший аспект «Культурного наследия» - открытие миру богатства национальной духовной сокровищницы. Третий аспект программы – создание системы изучения национального культурного наследия: истории, философии, этнографии, языка, литературы, живописи, музыки и т.д. Программа «Культурное наследие» была принята казахстанцами с большим воодушевлением как знаковый этап не только духовно-культурной, но всей общественной жизни страны.Государственная программа «Культурное наследие» сегодня реализуется поэтапно: 2004-2006, 2007-2008, 2009-2011 годы и готовится долгосрочная программа на ближайшие двадцать лет. Предусмотрено выделение значительных средств из государственного бюджета на систематизацию, сохранение и развитие культурного наследия.</w:t>
      </w:r>
    </w:p>
    <w:p>
      <w:pPr>
        <w:pStyle w:val="Normal"/>
        <w:ind w:left="0" w:right="0" w:firstLine="284"/>
        <w:jc w:val="both"/>
        <w:rPr>
          <w:sz w:val="28"/>
          <w:szCs w:val="28"/>
        </w:rPr>
      </w:pPr>
      <w:r>
        <w:rPr>
          <w:sz w:val="28"/>
          <w:szCs w:val="28"/>
        </w:rPr>
        <w:t>На первом этапе было выделено 2,7 млрд. тенге, на втором – более 4 млрд., на третьем – более 5 млрд. тенге. Государственная программа «Культурное наследие» осуществляется по следующим направлениям: систематизация, сохранение и реставрация памятников истории и археологии. В стране насчитывается свыше 25 тысяч памятников, более 2 миллионов ценных культурных предметов. Такие памятники как мавзолей Ходжа Ахмеда Яссауи и комплекс петроглифов урочища Тамгалы включены в перечень Всемирного культурного наследия, на очереди включения в список ЮНЕСКО древнее городище Отрар. За годы независимости проведена работа по полной инвентаризации памятников страны. По результатам этой работы в республике составлены государственные списки памятников истории и культуры, в которые вошли 218 объектов республиканского значения и 11,5 тысячи объектов местного значения. Самым значимым проектом является реставрация Мавзолея Султана Бейбарса в Дамаске. Этот комплекс, построенный в 1266 году самим Бейбарсом состоит из школы, архива и мавзолея.</w:t>
      </w:r>
    </w:p>
    <w:p>
      <w:pPr>
        <w:pStyle w:val="Normal"/>
        <w:ind w:left="0" w:right="0" w:firstLine="284"/>
        <w:jc w:val="both"/>
        <w:rPr>
          <w:sz w:val="28"/>
          <w:szCs w:val="28"/>
        </w:rPr>
      </w:pPr>
      <w:r>
        <w:rPr>
          <w:sz w:val="28"/>
          <w:szCs w:val="28"/>
        </w:rPr>
        <w:t>В ходе работ укреплены все стены и архитектурные формы комплекса, с привлечением сирийских специалистов полностью восстановлены мозаика, узорное оформление, архив, в котором хранятся более 200 тысяч раритетных книг, оборудован самой современной техникой. В рамках реставрации мечети Султана Бейбарса в Каире казахстанская сторона выполнила все обязательства по финансированию работ. Также продолжается строительство историко-культурного центра и Мавзолея Аль Фараби в Дамаске, он состоит из мечети, экспозиционных залов по истории и культуре, библиотек с читальным залом, конференц-залом и гостиницы.</w:t>
      </w:r>
    </w:p>
    <w:p>
      <w:pPr>
        <w:pStyle w:val="Normal"/>
        <w:ind w:left="0" w:right="0" w:firstLine="284"/>
        <w:jc w:val="both"/>
        <w:rPr>
          <w:sz w:val="28"/>
          <w:szCs w:val="28"/>
        </w:rPr>
      </w:pPr>
      <w:r>
        <w:rPr>
          <w:sz w:val="28"/>
          <w:szCs w:val="28"/>
        </w:rPr>
        <w:t>В ходе выполнения программы «Культурное наследие» с 2004 года по сегодняшний день проведены реставрационные работы на свыше 73 археологических и архитектурных памятниках, проведено более 40 археологических, 26 научно-прикладных исследований. Среди широко известных памятников Казахстана, имеющих евразийскую и мировую известность – древние города Сайрам, Отрар, Тараз, Каялык, Сыганак, Жанкент, Жент, могильники Иссык, Берель, пероглифы Тамгалы, мавзолеи Айша-биби, Бабаджи-Хатун, комплекс Яссави. «В нашей стране нет египетских пирамид и Римского Колизея, но роль номадов, живших в древности на территории Казахстана, неоценима не только для Евразии, но и для мировой истории. Мы должны на мировом уровне показать величие степной цивилизации – это одно из главных задач программы «Культурное наследие» - подчеркнул Президент Казахстана Н.А.Назарбаев. Второе большое направление Программы - приобретение копий книг, документов, рукописей, относящихся к истории Казахстана.</w:t>
      </w:r>
    </w:p>
    <w:p>
      <w:pPr>
        <w:pStyle w:val="Normal"/>
        <w:ind w:left="0" w:right="0" w:firstLine="284"/>
        <w:jc w:val="both"/>
        <w:rPr>
          <w:sz w:val="28"/>
          <w:szCs w:val="28"/>
        </w:rPr>
      </w:pPr>
      <w:r>
        <w:rPr>
          <w:sz w:val="28"/>
          <w:szCs w:val="28"/>
        </w:rPr>
        <w:t>Благодаря программе «Культурное наследие»  выявлено более 10 тысяч архивных материалов, документов, рукописей, артефактов. Самые многочисленные данные в зарубежных архивах – 3 тысячи документов – находились в Китае. Эти документы, до сих пор неизвестные науке, помогут систематизировать историю Казахстана. Также из стран Западной Европы, США, Турции, Китая, России, Японии, Армении в республику возвращены 5 тысяч уникальных исторических документов. Третье направление программы: исследование богатого наследия национальной литературы, ее систематизация и выпуск в многотомниках. Разработаны целые серии научно-популярных, литературных работ, издано более 440 наименований книг по истории, этнографии, археологии, а также новые энциклопедические словари. Издано 66 томов стотомного издания «Бабалар сөзі» (Слово предков). В них – от древних казахских сказок до рассказов современной литературы. Продолжается выпуск «Ста казахских романов» в 200-х томах. В нее внесены крупные литературные произведения казахстанских писателей за последние 100-150 лет. Издано 10 томов энциклопедии Казахстана, пять томов на русском языке и справочник на английском языке. Также осуществляются научные проекты по выпуску двадцатитомника, охватывающего наследие казахских мыслителей от седой древности до наших дней, другой проект включает издание мирового философского наследия, а третий посвящен выпуску десятитомного собрания сочинений Аль Фараби.</w:t>
      </w:r>
    </w:p>
    <w:p>
      <w:pPr>
        <w:pStyle w:val="Normal"/>
        <w:ind w:left="0" w:right="0" w:firstLine="284"/>
        <w:jc w:val="both"/>
        <w:rPr>
          <w:sz w:val="28"/>
          <w:szCs w:val="28"/>
        </w:rPr>
      </w:pPr>
      <w:r>
        <w:rPr>
          <w:sz w:val="28"/>
          <w:szCs w:val="28"/>
        </w:rPr>
        <w:t>В рамках  осуществления государственной программы «Культурное наследие» также идет поиск и восстановление  на современных аудиносителях фонозаписей выдающихся исполнителей прошлого столетия и внедрение информационных и телекоммуникационных технологии в музеи и библиотеки страны. Продолжаются работы по исследованию казахской музыки, подготовлена пятитомная музыкальная антология. Одним из важных направлений Программы является систематизация сведений, полученных в результате ее реализации и включение их в учебные программы и учебники средних и высших учебных заведений. Одна из главных задач сегодня – воспитание поколения, хорошо знающего традиции родной культуры, любящего историю своего народа – поколения, которому можно доверить будущее страны. Таким образом, цели, задачи, реализация сегодня уже национального стратигического проекта «Культурное наследие» обеспечит современному поколению казахстанцев сохранить культурное достояние народов, обитавших и проживающих на просторах казахской степи.</w:t>
      </w:r>
    </w:p>
    <w:p>
      <w:pPr>
        <w:pStyle w:val="Normal"/>
        <w:ind w:left="0" w:right="0" w:firstLine="284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ind w:left="0" w:right="0" w:firstLine="284"/>
        <w:jc w:val="center"/>
        <w:rPr>
          <w:sz w:val="28"/>
          <w:szCs w:val="28"/>
        </w:rPr>
      </w:pPr>
      <w:r>
        <w:rPr>
          <w:sz w:val="28"/>
          <w:szCs w:val="28"/>
        </w:rPr>
        <w:t>15.2 Формировании и реализации государственных программ «Туған-ел», «Сакральная география Казахстана»</w:t>
      </w:r>
    </w:p>
    <w:p>
      <w:pPr>
        <w:pStyle w:val="Normal"/>
        <w:ind w:left="0" w:right="0" w:firstLine="284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ind w:left="0" w:right="0" w:firstLine="284"/>
        <w:jc w:val="both"/>
        <w:rPr>
          <w:sz w:val="28"/>
          <w:szCs w:val="28"/>
        </w:rPr>
      </w:pPr>
      <w:r>
        <w:rPr>
          <w:sz w:val="28"/>
          <w:szCs w:val="28"/>
        </w:rPr>
        <w:t>Программа «Туған жер», направленна на формирование общенационального патриотизма, любви к своей земле, к своему аулу, городу.</w:t>
      </w:r>
    </w:p>
    <w:p>
      <w:pPr>
        <w:pStyle w:val="Normal"/>
        <w:ind w:left="0" w:right="0" w:firstLine="284"/>
        <w:jc w:val="both"/>
        <w:rPr>
          <w:sz w:val="28"/>
          <w:szCs w:val="28"/>
        </w:rPr>
      </w:pPr>
      <w:r>
        <w:rPr>
          <w:sz w:val="28"/>
          <w:szCs w:val="28"/>
        </w:rPr>
        <w:t>Программа «Туған жер» является составным элементом программы модернизации общественного сознания «Рухани жаңғыру».</w:t>
      </w:r>
    </w:p>
    <w:p>
      <w:pPr>
        <w:pStyle w:val="Normal"/>
        <w:ind w:left="0" w:right="0" w:firstLine="284"/>
        <w:jc w:val="both"/>
        <w:rPr>
          <w:sz w:val="28"/>
          <w:szCs w:val="28"/>
        </w:rPr>
      </w:pPr>
      <w:r>
        <w:rPr>
          <w:sz w:val="28"/>
          <w:szCs w:val="28"/>
        </w:rPr>
        <w:t>Основные направления Концепции: образование, куда входит – краеведение –организация в средних школах стендов об истории школы, выдающихся выпускниках; конкурсы и слеты, читающая нация, образовательные проекты; Региональная культура – экология и благоустройство;культура, региональная энциклопедия; Поддержка малой родины – разработка карты региональных проектов, стимулирование лиц, оказывающих помощь, Информационное сопровождение – источники донесения информации.</w:t>
      </w:r>
    </w:p>
    <w:p>
      <w:pPr>
        <w:pStyle w:val="Normal"/>
        <w:ind w:left="0" w:right="0" w:firstLine="284"/>
        <w:jc w:val="both"/>
        <w:rPr>
          <w:sz w:val="28"/>
          <w:szCs w:val="28"/>
        </w:rPr>
      </w:pPr>
      <w:r>
        <w:rPr>
          <w:sz w:val="28"/>
          <w:szCs w:val="28"/>
        </w:rPr>
        <w:t>Данная работа направлена на формирование патриотического духа у населения, воспитание у молодого поколения любви к родному краю, бережному отношению к природе, уважительном отношении к истории и культурно –историческим памятникам; создание необходимых условий для духовной самореализации.</w:t>
      </w:r>
    </w:p>
    <w:p>
      <w:pPr>
        <w:pStyle w:val="Normal"/>
        <w:ind w:left="0" w:right="0" w:firstLine="284"/>
        <w:jc w:val="both"/>
        <w:rPr>
          <w:sz w:val="28"/>
          <w:szCs w:val="28"/>
        </w:rPr>
      </w:pPr>
      <w:r>
        <w:rPr>
          <w:sz w:val="28"/>
          <w:szCs w:val="28"/>
        </w:rPr>
        <w:t>Программа «Туған жер» будет реализована и у нас в районе среди общеобразовательных школ. Отделом образования составлен план мероприятий, доведен до всех школ. Реализация которого будет в течении года.Сакральные объекты Казахстана имеют древнюю историю. Это культовые архитектурные сооружения, города, поселения, курганы, некрополи, святилища, наскальные рисунки и исторические ландшафты.</w:t>
      </w:r>
    </w:p>
    <w:p>
      <w:pPr>
        <w:pStyle w:val="Normal"/>
        <w:ind w:left="0" w:right="0" w:firstLine="284"/>
        <w:jc w:val="both"/>
        <w:rPr>
          <w:sz w:val="28"/>
          <w:szCs w:val="28"/>
        </w:rPr>
      </w:pPr>
      <w:r>
        <w:rPr>
          <w:sz w:val="28"/>
          <w:szCs w:val="28"/>
        </w:rPr>
        <w:t>Особую популярность имеют культовые архитектурные памятники, как правило, лучше сохранившиеся до наших дней и более почитаемые.</w:t>
      </w:r>
    </w:p>
    <w:p>
      <w:pPr>
        <w:pStyle w:val="Normal"/>
        <w:ind w:left="0" w:right="0" w:firstLine="284"/>
        <w:jc w:val="both"/>
        <w:rPr>
          <w:sz w:val="28"/>
          <w:szCs w:val="28"/>
        </w:rPr>
      </w:pPr>
      <w:r>
        <w:rPr>
          <w:sz w:val="28"/>
          <w:szCs w:val="28"/>
        </w:rPr>
        <w:t>Основной объём историко-культурного наследия составляют археологические памятники, которые разбросаны по всей территории Казахстана. Они охватывают громадный хронологический период: от глубокой древности, каменного века, до позднего средневековья. Они беззащитны перед временем и требуют серьёзных научных исследований, работ по консервации и реставрации, а также продуманного подхода к эксплуатации.</w:t>
      </w:r>
    </w:p>
    <w:p>
      <w:pPr>
        <w:pStyle w:val="Normal"/>
        <w:ind w:left="0" w:right="0" w:firstLine="284"/>
        <w:jc w:val="both"/>
        <w:rPr>
          <w:sz w:val="28"/>
          <w:szCs w:val="28"/>
        </w:rPr>
      </w:pPr>
      <w:r>
        <w:rPr>
          <w:sz w:val="28"/>
          <w:szCs w:val="28"/>
        </w:rPr>
        <w:t>Ещё одним видом духовного наследия являются объекты природы, сакрализация которых уходит в глубокую древность. Некоторые из них объявлены святыми, став объектами паломнического туризма, но требуя изучения и проведения научной экспертизы.</w:t>
      </w:r>
    </w:p>
    <w:p>
      <w:pPr>
        <w:pStyle w:val="Normal"/>
        <w:ind w:left="0" w:right="0" w:firstLine="284"/>
        <w:jc w:val="both"/>
        <w:rPr>
          <w:sz w:val="28"/>
          <w:szCs w:val="28"/>
        </w:rPr>
      </w:pPr>
      <w:r>
        <w:rPr>
          <w:sz w:val="28"/>
          <w:szCs w:val="28"/>
        </w:rPr>
        <w:t>Наряду с известными сакральными объектами, вошедшими в историческую и археологическую науку, появляются новые - религиозные памятники и святые места.</w:t>
      </w:r>
    </w:p>
    <w:p>
      <w:pPr>
        <w:pStyle w:val="Normal"/>
        <w:ind w:left="0" w:right="0" w:firstLine="284"/>
        <w:jc w:val="both"/>
        <w:rPr>
          <w:sz w:val="28"/>
          <w:szCs w:val="28"/>
        </w:rPr>
      </w:pPr>
      <w:r>
        <w:rPr>
          <w:sz w:val="28"/>
          <w:szCs w:val="28"/>
        </w:rPr>
        <w:t>Объектами паломничества также становятся и памятники архитектуры, имеющие историческое, научное и художественное значение. Обладая правом неприкосновенности, они не подвергаются вмешательству; а многие из них - культовые сооружения. Но стоит отличать их от вновь возникших сакрализованных мест, определяя наличие историко-художественной ценности.</w:t>
      </w:r>
    </w:p>
    <w:p>
      <w:pPr>
        <w:pStyle w:val="Normal"/>
        <w:ind w:left="0" w:right="0" w:firstLine="284"/>
        <w:jc w:val="both"/>
        <w:rPr>
          <w:sz w:val="28"/>
          <w:szCs w:val="28"/>
        </w:rPr>
      </w:pPr>
      <w:r>
        <w:rPr>
          <w:sz w:val="28"/>
          <w:szCs w:val="28"/>
        </w:rPr>
        <w:t>В связи с назревшим вопросом определения сакральных объектов Казахстана учёные работают над систематизацией сакральных мест по всей стране. Такое распределение будет препятствовать распространению шарлатанства в области историко-культурного наследия и проявлению на этой почве религиозного экстремизма.</w:t>
      </w:r>
    </w:p>
    <w:p>
      <w:pPr>
        <w:pStyle w:val="Normal"/>
        <w:ind w:left="0" w:right="0" w:firstLine="284"/>
        <w:jc w:val="both"/>
        <w:rPr>
          <w:sz w:val="28"/>
          <w:szCs w:val="28"/>
        </w:rPr>
      </w:pPr>
      <w:r>
        <w:rPr>
          <w:sz w:val="28"/>
          <w:szCs w:val="28"/>
        </w:rPr>
        <w:t>Систематизация сакральных объектов на основе определённых критериев позволит выработать механизм историко-культурной экспертизы природных и других сакральных мест.</w:t>
      </w:r>
    </w:p>
    <w:p>
      <w:pPr>
        <w:pStyle w:val="Normal"/>
        <w:ind w:left="0" w:right="0" w:firstLine="284"/>
        <w:jc w:val="both"/>
        <w:rPr>
          <w:sz w:val="28"/>
          <w:szCs w:val="28"/>
        </w:rPr>
      </w:pPr>
      <w:r>
        <w:rPr>
          <w:sz w:val="28"/>
          <w:szCs w:val="28"/>
        </w:rPr>
        <w:t>Реестр сакральных объектов составлен на основе коллегиального отбора научными коллективами трёх организаций: Института Археологии им. А.Х. Маргулана, Института истории и этнологии им. Ч.Ч. Валиханова, Института истории государства. Предварительный список сакральных мест Казахстана включает 574 объекта, из которых в 2017 году описано 279. Учёные, основываясь на материалах архивно-библиографического характера, полевых исследованиях, сформировали реестр с характеристикой объектов от древнейших времён до современности. Улкен-Жезды, Караунгур, Белкарай - особо значимые памятники археологии каменного века. Ботай, Кожай, Кумкешу - памятники с доместикацией лошадей, одного из маркеров степной цивилизации. Атасу, Мыржык, Талдысай - уникальные памятники одного из крупнейших металлургических центров древнего мира на территории Центрального Казахстана в Жезказган-Улытауском регионе. Есть интересные погребально-поминальные и ритуальные объекты эпохи ранних кочевников: Талды-2, Шиликты, Иссык, Берел, Таксай и другие. Отрар, Сидак, Жуантобе, Испиджаб, Сауран - являются наиболее значимыми средневековыми городами - центрами торговли и ремесла с выдающимися образцами архитектуры и строительного мастерства.</w:t>
      </w:r>
    </w:p>
    <w:p>
      <w:pPr>
        <w:pStyle w:val="Normal"/>
        <w:ind w:left="0" w:right="0" w:firstLine="284"/>
        <w:jc w:val="both"/>
        <w:rPr>
          <w:sz w:val="28"/>
          <w:szCs w:val="28"/>
        </w:rPr>
      </w:pPr>
      <w:r>
        <w:rPr>
          <w:sz w:val="28"/>
          <w:szCs w:val="28"/>
        </w:rPr>
        <w:t>Исторически территорию Казахстана можно условно разделить на несколько историко-культурных ареалов. Они отличаются более тесными внутренними связями, общностью развития, особенностями соответствия эколого-природных и социально-культурных факторов, что сказалось на содержательной стороне археологических и исторических памятников.</w:t>
      </w:r>
    </w:p>
    <w:p>
      <w:pPr>
        <w:pStyle w:val="Normal"/>
        <w:ind w:left="0" w:right="0" w:firstLine="284"/>
        <w:jc w:val="both"/>
        <w:rPr>
          <w:sz w:val="28"/>
          <w:szCs w:val="28"/>
        </w:rPr>
      </w:pPr>
      <w:r>
        <w:rPr>
          <w:sz w:val="28"/>
          <w:szCs w:val="28"/>
        </w:rPr>
        <w:t>Сакральные места отражают долгую и насыщенную событиями жизнь и деятельность народа, борьбу за независимость. Работа над реестром сакральных объектов Казахстана - длительный и скрупулёзный труд, в котором задействованы различные учёные: археологи, историки, этнологи, филологи, востоковеды.</w:t>
      </w:r>
    </w:p>
    <w:p>
      <w:pPr>
        <w:pStyle w:val="Normal"/>
        <w:ind w:left="0" w:right="0" w:firstLine="284"/>
        <w:jc w:val="both"/>
        <w:rPr>
          <w:sz w:val="28"/>
          <w:szCs w:val="28"/>
        </w:rPr>
      </w:pPr>
      <w:r>
        <w:rPr>
          <w:sz w:val="28"/>
          <w:szCs w:val="28"/>
        </w:rPr>
        <w:t>Последней целью в выполнении масштабной работы по систематизации и подготовке многотомного реестра сакральных памятников должна стать консолидация народа и формирование новой национальной идеи. Популяризация полученных знаний станет источником духовных ценностей. Реестр сакральных объектов - залог гармоничного развития народа Казахстана.</w:t>
      </w:r>
    </w:p>
    <w:p>
      <w:pPr>
        <w:pStyle w:val="Normal"/>
        <w:ind w:left="0" w:right="0" w:firstLine="709"/>
        <w:jc w:val="center"/>
        <w:rPr>
          <w:color w:val="00000A"/>
          <w:sz w:val="28"/>
          <w:szCs w:val="28"/>
          <w:lang w:eastAsia="ru-RU"/>
        </w:rPr>
      </w:pPr>
      <w:r>
        <w:rPr>
          <w:color w:val="00000A"/>
          <w:sz w:val="28"/>
          <w:szCs w:val="28"/>
          <w:lang w:eastAsia="ru-RU"/>
        </w:rPr>
      </w:r>
    </w:p>
    <w:p>
      <w:pPr>
        <w:pStyle w:val="Normal"/>
        <w:ind w:left="0" w:right="0" w:firstLine="709"/>
        <w:jc w:val="center"/>
        <w:rPr>
          <w:color w:val="00000A"/>
          <w:sz w:val="28"/>
          <w:szCs w:val="28"/>
          <w:lang w:eastAsia="ru-RU"/>
        </w:rPr>
      </w:pPr>
      <w:r>
        <w:rPr>
          <w:color w:val="00000A"/>
          <w:sz w:val="28"/>
          <w:szCs w:val="28"/>
          <w:lang w:eastAsia="ru-RU"/>
        </w:rPr>
      </w:r>
    </w:p>
    <w:sectPr>
      <w:type w:val="nextPage"/>
      <w:pgSz w:w="11906" w:h="16838"/>
      <w:pgMar w:left="1701" w:right="850" w:header="0" w:top="1134" w:footer="0" w:bottom="1134" w:gutter="0"/>
      <w:pgNumType w:fmt="decimal"/>
      <w:formProt w:val="false"/>
      <w:textDirection w:val="lrTb"/>
      <w:docGrid w:type="default" w:linePitch="360" w:charSpace="2047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variable"/>
  </w:font>
  <w:font w:name="Times New Roman">
    <w:charset w:val="01"/>
    <w:family w:val="roman"/>
    <w:pitch w:val="variable"/>
  </w:font>
  <w:font w:name="Cambria">
    <w:charset w:val="01"/>
    <w:family w:val="roman"/>
    <w:pitch w:val="variable"/>
  </w:font>
  <w:font w:name="Liberation Sans">
    <w:altName w:val="Arial"/>
    <w:charset w:val="01"/>
    <w:family w:val="roman"/>
    <w:pitch w:val="variable"/>
  </w:font>
</w:fonts>
</file>

<file path=word/settings.xml><?xml version="1.0" encoding="utf-8"?>
<w:settings xmlns:w="http://schemas.openxmlformats.org/wordprocessingml/2006/main">
  <w:zoom w:percent="100"/>
  <w:defaultTabStop w:val="708"/>
  <w:compat/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Times New Roman"/>
        <w:szCs w:val="22"/>
        <w:lang w:val="ru-RU" w:eastAsia="ru-RU" w:bidi="ar-SA"/>
      </w:rPr>
    </w:rPrDefault>
    <w:pPrDefault>
      <w:pPr/>
    </w:pPrDefault>
  </w:docDefaults>
  <w:latentStyles w:defLockedState="0" w:defUIPriority="99" w:defSemiHidden="1" w:defUnhideWhenUsed="1" w:defQFormat="0" w:count="267">
    <w:lsdException w:name="Normal" w:locked="1" w:uiPriority="0" w:semiHidden="0" w:unhideWhenUsed="0" w:qFormat="1"/>
    <w:lsdException w:name="heading 1" w:locked="1" w:uiPriority="0" w:semiHidden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uiPriority="0" w:semiHidden="0" w:unhideWhenUsed="0"/>
    <w:lsdException w:name="toc 2" w:locked="1" w:uiPriority="0" w:semiHidden="0" w:unhideWhenUsed="0"/>
    <w:lsdException w:name="toc 3" w:locked="1" w:uiPriority="0" w:semiHidden="0" w:unhideWhenUsed="0"/>
    <w:lsdException w:name="toc 4" w:locked="1" w:uiPriority="0" w:semiHidden="0" w:unhideWhenUsed="0"/>
    <w:lsdException w:name="toc 5" w:locked="1" w:uiPriority="0" w:semiHidden="0" w:unhideWhenUsed="0"/>
    <w:lsdException w:name="toc 6" w:locked="1" w:uiPriority="0" w:semiHidden="0" w:unhideWhenUsed="0"/>
    <w:lsdException w:name="toc 7" w:locked="1" w:uiPriority="0" w:semiHidden="0" w:unhideWhenUsed="0"/>
    <w:lsdException w:name="toc 8" w:locked="1" w:uiPriority="0" w:semiHidden="0" w:unhideWhenUsed="0"/>
    <w:lsdException w:name="toc 9" w:locked="1" w:uiPriority="0" w:semiHidden="0" w:unhideWhenUsed="0"/>
    <w:lsdException w:name="caption" w:locked="1" w:uiPriority="0" w:qFormat="1"/>
    <w:lsdException w:name="Title" w:locked="1" w:uiPriority="0" w:semiHidden="0" w:unhideWhenUsed="0" w:qFormat="1"/>
    <w:lsdException w:name="Default Paragraph Font" w:locked="1" w:uiPriority="0" w:semiHidden="0" w:unhideWhenUsed="0"/>
    <w:lsdException w:name="Subtitle" w:locked="1" w:uiPriority="0" w:semiHidden="0" w:unhideWhenUsed="0" w:qFormat="1"/>
    <w:lsdException w:name="Body Text 3" w:locked="1" w:uiPriority="0" w:semiHidden="0" w:unhideWhenUsed="0"/>
    <w:lsdException w:name="Body Text Indent 2" w:locked="1" w:uiPriority="0" w:semiHidden="0" w:unhideWhenUsed="0"/>
    <w:lsdException w:name="Strong" w:locked="1" w:uiPriority="0" w:semiHidden="0" w:unhideWhenUsed="0" w:qFormat="1"/>
    <w:lsdException w:name="Emphasis" w:locked="1" w:uiPriority="0" w:semiHidden="0" w:unhideWhenUsed="0" w:qFormat="1"/>
    <w:lsdException w:name="Table Grid" w:locked="1" w:uiPriority="0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d47499"/>
    <w:pPr>
      <w:widowControl w:val="false"/>
      <w:bidi w:val="0"/>
      <w:jc w:val="left"/>
    </w:pPr>
    <w:rPr>
      <w:rFonts w:ascii="Times New Roman" w:hAnsi="Times New Roman" w:eastAsia="Calibri" w:cs="Times New Roman"/>
      <w:color w:val="00000A"/>
      <w:sz w:val="20"/>
      <w:szCs w:val="20"/>
      <w:lang w:val="ru-RU" w:eastAsia="ru-RU" w:bidi="ar-SA"/>
    </w:rPr>
  </w:style>
  <w:style w:type="character" w:styleId="DefaultParagraphFont" w:default="1">
    <w:name w:val="Default Paragraph Font"/>
    <w:uiPriority w:val="99"/>
    <w:semiHidden/>
    <w:qFormat/>
    <w:rPr/>
  </w:style>
  <w:style w:type="character" w:styleId="BodyText3Char" w:customStyle="1">
    <w:name w:val="Body Text 3 Char"/>
    <w:basedOn w:val="DefaultParagraphFont"/>
    <w:link w:val="BodyText3"/>
    <w:uiPriority w:val="99"/>
    <w:qFormat/>
    <w:locked/>
    <w:rsid w:val="00974af8"/>
    <w:rPr>
      <w:rFonts w:ascii="Times New Roman" w:hAnsi="Times New Roman" w:cs="Times New Roman"/>
      <w:sz w:val="20"/>
      <w:szCs w:val="20"/>
      <w:lang w:eastAsia="ru-RU"/>
    </w:rPr>
  </w:style>
  <w:style w:type="character" w:styleId="BodyTextIndent2Char" w:customStyle="1">
    <w:name w:val="Body Text Indent 2 Char"/>
    <w:basedOn w:val="DefaultParagraphFont"/>
    <w:link w:val="BodyTextIndent2"/>
    <w:uiPriority w:val="99"/>
    <w:qFormat/>
    <w:locked/>
    <w:rsid w:val="00974af8"/>
    <w:rPr>
      <w:rFonts w:ascii="Times New Roman" w:hAnsi="Times New Roman" w:cs="Times New Roman"/>
      <w:sz w:val="20"/>
      <w:szCs w:val="20"/>
      <w:lang w:eastAsia="ru-RU"/>
    </w:rPr>
  </w:style>
  <w:style w:type="character" w:styleId="FontStyle13" w:customStyle="1">
    <w:name w:val="Font Style13"/>
    <w:basedOn w:val="DefaultParagraphFont"/>
    <w:uiPriority w:val="99"/>
    <w:qFormat/>
    <w:rsid w:val="00284b70"/>
    <w:rPr>
      <w:rFonts w:ascii="Times New Roman" w:hAnsi="Times New Roman" w:cs="Times New Roman"/>
      <w:sz w:val="22"/>
      <w:szCs w:val="22"/>
    </w:rPr>
  </w:style>
  <w:style w:type="character" w:styleId="TitleChar" w:customStyle="1">
    <w:name w:val="Title Char"/>
    <w:basedOn w:val="DefaultParagraphFont"/>
    <w:link w:val="Title"/>
    <w:uiPriority w:val="99"/>
    <w:qFormat/>
    <w:locked/>
    <w:rsid w:val="008a17cf"/>
    <w:rPr>
      <w:rFonts w:ascii="Cambria" w:hAnsi="Cambria" w:cs="Times New Roman"/>
      <w:b/>
      <w:bCs/>
      <w:sz w:val="32"/>
      <w:szCs w:val="32"/>
    </w:rPr>
  </w:style>
  <w:style w:type="character" w:styleId="ListLabel1">
    <w:name w:val="ListLabel 1"/>
    <w:qFormat/>
    <w:rPr>
      <w:rFonts w:cs="Times New Roman"/>
    </w:rPr>
  </w:style>
  <w:style w:type="character" w:styleId="ListLabel2">
    <w:name w:val="ListLabel 2"/>
    <w:qFormat/>
    <w:rPr>
      <w:rFonts w:cs="Times New Roman"/>
    </w:rPr>
  </w:style>
  <w:style w:type="character" w:styleId="ListLabel3">
    <w:name w:val="ListLabel 3"/>
    <w:qFormat/>
    <w:rPr>
      <w:rFonts w:cs="Times New Roman"/>
    </w:rPr>
  </w:style>
  <w:style w:type="character" w:styleId="ListLabel4">
    <w:name w:val="ListLabel 4"/>
    <w:qFormat/>
    <w:rPr>
      <w:rFonts w:cs="Times New Roman"/>
    </w:rPr>
  </w:style>
  <w:style w:type="character" w:styleId="ListLabel5">
    <w:name w:val="ListLabel 5"/>
    <w:qFormat/>
    <w:rPr>
      <w:rFonts w:cs="Times New Roman"/>
    </w:rPr>
  </w:style>
  <w:style w:type="character" w:styleId="ListLabel6">
    <w:name w:val="ListLabel 6"/>
    <w:qFormat/>
    <w:rPr>
      <w:rFonts w:cs="Times New Roman"/>
    </w:rPr>
  </w:style>
  <w:style w:type="character" w:styleId="ListLabel7">
    <w:name w:val="ListLabel 7"/>
    <w:qFormat/>
    <w:rPr>
      <w:rFonts w:cs="Times New Roman"/>
    </w:rPr>
  </w:style>
  <w:style w:type="character" w:styleId="ListLabel8">
    <w:name w:val="ListLabel 8"/>
    <w:qFormat/>
    <w:rPr>
      <w:rFonts w:cs="Times New Roman"/>
    </w:rPr>
  </w:style>
  <w:style w:type="character" w:styleId="ListLabel9">
    <w:name w:val="ListLabel 9"/>
    <w:qFormat/>
    <w:rPr>
      <w:rFonts w:cs="Times New Roman"/>
    </w:rPr>
  </w:style>
  <w:style w:type="character" w:styleId="ListLabel10">
    <w:name w:val="ListLabel 10"/>
    <w:qFormat/>
    <w:rPr>
      <w:rFonts w:cs="Times New Roman"/>
    </w:rPr>
  </w:style>
  <w:style w:type="character" w:styleId="ListLabel11">
    <w:name w:val="ListLabel 11"/>
    <w:qFormat/>
    <w:rPr>
      <w:rFonts w:cs="Times New Roman"/>
    </w:rPr>
  </w:style>
  <w:style w:type="character" w:styleId="ListLabel12">
    <w:name w:val="ListLabel 12"/>
    <w:qFormat/>
    <w:rPr>
      <w:rFonts w:cs="Times New Roman"/>
    </w:rPr>
  </w:style>
  <w:style w:type="character" w:styleId="ListLabel13">
    <w:name w:val="ListLabel 13"/>
    <w:qFormat/>
    <w:rPr>
      <w:rFonts w:cs="Times New Roman"/>
    </w:rPr>
  </w:style>
  <w:style w:type="character" w:styleId="ListLabel14">
    <w:name w:val="ListLabel 14"/>
    <w:qFormat/>
    <w:rPr>
      <w:rFonts w:cs="Times New Roman"/>
    </w:rPr>
  </w:style>
  <w:style w:type="paragraph" w:styleId="Style14">
    <w:name w:val="Заголовок"/>
    <w:basedOn w:val="Normal"/>
    <w:next w:val="Style15"/>
    <w:qFormat/>
    <w:pPr>
      <w:keepNext/>
      <w:spacing w:before="240" w:after="120"/>
    </w:pPr>
    <w:rPr>
      <w:rFonts w:ascii="Liberation Sans" w:hAnsi="Liberation Sans" w:eastAsia="Noto Sans CJK SC Regular" w:cs="FreeSans"/>
      <w:sz w:val="28"/>
      <w:szCs w:val="28"/>
    </w:rPr>
  </w:style>
  <w:style w:type="paragraph" w:styleId="Style15">
    <w:name w:val="Body Text"/>
    <w:basedOn w:val="Normal"/>
    <w:pPr>
      <w:spacing w:lineRule="auto" w:line="288" w:before="0" w:after="140"/>
    </w:pPr>
    <w:rPr/>
  </w:style>
  <w:style w:type="paragraph" w:styleId="Style16">
    <w:name w:val="List"/>
    <w:basedOn w:val="Style15"/>
    <w:pPr/>
    <w:rPr>
      <w:rFonts w:cs="FreeSans"/>
    </w:rPr>
  </w:style>
  <w:style w:type="paragraph" w:styleId="Style17">
    <w:name w:val="Caption"/>
    <w:basedOn w:val="Normal"/>
    <w:qFormat/>
    <w:pPr>
      <w:suppressLineNumbers/>
      <w:spacing w:before="120" w:after="120"/>
    </w:pPr>
    <w:rPr>
      <w:rFonts w:cs="FreeSans"/>
      <w:i/>
      <w:iCs/>
      <w:sz w:val="24"/>
      <w:szCs w:val="24"/>
    </w:rPr>
  </w:style>
  <w:style w:type="paragraph" w:styleId="Style18">
    <w:name w:val="Указатель"/>
    <w:basedOn w:val="Normal"/>
    <w:qFormat/>
    <w:pPr>
      <w:suppressLineNumbers/>
    </w:pPr>
    <w:rPr>
      <w:rFonts w:cs="FreeSans"/>
    </w:rPr>
  </w:style>
  <w:style w:type="paragraph" w:styleId="BodyText3">
    <w:name w:val="Body Text 3"/>
    <w:basedOn w:val="Normal"/>
    <w:link w:val="BodyText3Char"/>
    <w:uiPriority w:val="99"/>
    <w:qFormat/>
    <w:rsid w:val="00974af8"/>
    <w:pPr>
      <w:widowControl/>
      <w:jc w:val="both"/>
    </w:pPr>
    <w:rPr>
      <w:sz w:val="28"/>
    </w:rPr>
  </w:style>
  <w:style w:type="paragraph" w:styleId="BodyTextIndent2">
    <w:name w:val="Body Text Indent 2"/>
    <w:basedOn w:val="Normal"/>
    <w:link w:val="BodyTextIndent2Char"/>
    <w:uiPriority w:val="99"/>
    <w:qFormat/>
    <w:rsid w:val="00974af8"/>
    <w:pPr>
      <w:spacing w:lineRule="auto" w:line="480" w:before="0" w:after="120"/>
      <w:ind w:left="283" w:hanging="0"/>
    </w:pPr>
    <w:rPr/>
  </w:style>
  <w:style w:type="paragraph" w:styleId="NormalWeb">
    <w:name w:val="Normal (Web)"/>
    <w:basedOn w:val="Normal"/>
    <w:uiPriority w:val="99"/>
    <w:qFormat/>
    <w:rsid w:val="00650cda"/>
    <w:pPr>
      <w:widowControl/>
      <w:spacing w:beforeAutospacing="1" w:after="119"/>
    </w:pPr>
    <w:rPr>
      <w:sz w:val="24"/>
      <w:szCs w:val="24"/>
    </w:rPr>
  </w:style>
  <w:style w:type="paragraph" w:styleId="3f3f3f3f3f3f3f" w:customStyle="1">
    <w:name w:val="Б3fа3fз3fо3fв3fы3fй3f"/>
    <w:uiPriority w:val="99"/>
    <w:qFormat/>
    <w:rsid w:val="00284b70"/>
    <w:pPr>
      <w:widowControl/>
      <w:suppressAutoHyphens w:val="true"/>
      <w:bidi w:val="0"/>
      <w:jc w:val="left"/>
    </w:pPr>
    <w:rPr>
      <w:rFonts w:ascii="Times New Roman" w:hAnsi="Times New Roman" w:eastAsia="Calibri" w:cs="Times New Roman"/>
      <w:color w:val="00000A"/>
      <w:sz w:val="24"/>
      <w:szCs w:val="24"/>
      <w:lang w:val="ru-RU" w:eastAsia="zh-CN" w:bidi="ar-SA"/>
    </w:rPr>
  </w:style>
  <w:style w:type="paragraph" w:styleId="Style19">
    <w:name w:val="Title"/>
    <w:basedOn w:val="Normal"/>
    <w:link w:val="TitleChar"/>
    <w:uiPriority w:val="99"/>
    <w:qFormat/>
    <w:locked/>
    <w:rsid w:val="00094b21"/>
    <w:pPr>
      <w:widowControl/>
      <w:jc w:val="center"/>
    </w:pPr>
    <w:rPr>
      <w:b/>
      <w:sz w:val="32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296</TotalTime>
  <Application>LibreOffice/5.1.6.2$Linux_X86_64 LibreOffice_project/10m0$Build-2</Application>
  <Pages>5</Pages>
  <Words>1361</Words>
  <Characters>10107</Characters>
  <CharactersWithSpaces>11460</CharactersWithSpaces>
  <Paragraphs>25</Paragraphs>
  <Company>SPecialiST RePack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2015-02-25T03:57:00Z</dcterms:created>
  <dc:creator>Галина Панковская</dc:creator>
  <dc:description/>
  <dc:language>ru-RU</dc:language>
  <cp:lastModifiedBy/>
  <cp:lastPrinted>2015-03-03T03:14:00Z</cp:lastPrinted>
  <dcterms:modified xsi:type="dcterms:W3CDTF">2019-09-25T18:40:19Z</dcterms:modified>
  <cp:revision>27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SPecialiST RePack</vt:lpwstr>
  </property>
  <property fmtid="{D5CDD505-2E9C-101B-9397-08002B2CF9AE}" pid="4" name="DocSecurity">
    <vt:i4>0</vt:i4>
  </property>
  <property fmtid="{D5CDD505-2E9C-101B-9397-08002B2CF9AE}" pid="5" name="HyperlinksChanged">
    <vt:bool>0</vt:bool>
  </property>
  <property fmtid="{D5CDD505-2E9C-101B-9397-08002B2CF9AE}" pid="6" name="LinksUpToDate">
    <vt:bool>0</vt:bool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